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C3FFA" w14:textId="77777777" w:rsidR="00A66309" w:rsidRDefault="00334C69" w:rsidP="00FB2B15">
      <w:pPr>
        <w:jc w:val="both"/>
      </w:pPr>
    </w:p>
    <w:p w14:paraId="67FF41B5" w14:textId="7064FBBE" w:rsidR="00C10A33" w:rsidRDefault="005D2C23" w:rsidP="00FB2B15">
      <w:pPr>
        <w:jc w:val="both"/>
        <w:rPr>
          <w:b/>
          <w:sz w:val="32"/>
          <w:szCs w:val="32"/>
        </w:rPr>
      </w:pPr>
      <w:r w:rsidRPr="00A028BC">
        <w:rPr>
          <w:b/>
          <w:sz w:val="32"/>
          <w:szCs w:val="32"/>
        </w:rPr>
        <w:t>Jak finansować firmę w czasie kry</w:t>
      </w:r>
      <w:r w:rsidR="00A028BC">
        <w:rPr>
          <w:b/>
          <w:sz w:val="32"/>
          <w:szCs w:val="32"/>
        </w:rPr>
        <w:t>z</w:t>
      </w:r>
      <w:r w:rsidRPr="00A028BC">
        <w:rPr>
          <w:b/>
          <w:sz w:val="32"/>
          <w:szCs w:val="32"/>
        </w:rPr>
        <w:t>ysu.</w:t>
      </w:r>
    </w:p>
    <w:p w14:paraId="6D1A8BE7" w14:textId="08E39004" w:rsidR="00334C69" w:rsidRPr="00334C69" w:rsidRDefault="00334C69" w:rsidP="00FB2B15">
      <w:pPr>
        <w:jc w:val="both"/>
        <w:rPr>
          <w:i/>
          <w:iCs/>
        </w:rPr>
      </w:pPr>
      <w:r>
        <w:rPr>
          <w:i/>
          <w:iCs/>
        </w:rPr>
        <w:t>Autor: Benedykt Wiśniewski, Partner Zarządzający, Członek Zarządu MGW CCG</w:t>
      </w:r>
    </w:p>
    <w:p w14:paraId="4688A3DB" w14:textId="77777777" w:rsidR="00C10A33" w:rsidRDefault="00C10A33" w:rsidP="00FB2B15">
      <w:pPr>
        <w:jc w:val="both"/>
      </w:pPr>
    </w:p>
    <w:p w14:paraId="0302E001" w14:textId="6B58EF55" w:rsidR="005D2C23" w:rsidRPr="00A028BC" w:rsidRDefault="005D2C23" w:rsidP="00FB2B15">
      <w:pPr>
        <w:jc w:val="both"/>
        <w:rPr>
          <w:b/>
          <w:i/>
        </w:rPr>
      </w:pPr>
      <w:r w:rsidRPr="00A028BC">
        <w:rPr>
          <w:b/>
          <w:i/>
        </w:rPr>
        <w:t>Kreatywne podejście do finansów to termin, który się kojarzy bardzo źle. Jednak kryzys gospodarczy powoduje, że</w:t>
      </w:r>
      <w:r w:rsidR="00157E92">
        <w:rPr>
          <w:b/>
          <w:i/>
        </w:rPr>
        <w:t xml:space="preserve"> często</w:t>
      </w:r>
      <w:r w:rsidRPr="00A028BC">
        <w:rPr>
          <w:b/>
          <w:i/>
        </w:rPr>
        <w:t xml:space="preserve"> właśnie od zaradności i kreatywności</w:t>
      </w:r>
      <w:r w:rsidR="00157E92">
        <w:rPr>
          <w:b/>
          <w:i/>
        </w:rPr>
        <w:t xml:space="preserve"> </w:t>
      </w:r>
      <w:r w:rsidRPr="00A028BC">
        <w:rPr>
          <w:b/>
          <w:i/>
        </w:rPr>
        <w:t xml:space="preserve">dyrektorów </w:t>
      </w:r>
      <w:r w:rsidR="00A028BC" w:rsidRPr="00A028BC">
        <w:rPr>
          <w:b/>
          <w:i/>
        </w:rPr>
        <w:t>finansowyc</w:t>
      </w:r>
      <w:r w:rsidR="00157E92">
        <w:rPr>
          <w:b/>
          <w:i/>
        </w:rPr>
        <w:t>h</w:t>
      </w:r>
      <w:r w:rsidR="00A028BC">
        <w:rPr>
          <w:b/>
          <w:i/>
        </w:rPr>
        <w:t xml:space="preserve"> </w:t>
      </w:r>
      <w:r w:rsidR="00A028BC" w:rsidRPr="00A028BC">
        <w:rPr>
          <w:b/>
          <w:i/>
        </w:rPr>
        <w:t>zależy przetrwanie przedsiębiorstw</w:t>
      </w:r>
      <w:r w:rsidR="00A028BC">
        <w:rPr>
          <w:b/>
          <w:i/>
        </w:rPr>
        <w:t>.</w:t>
      </w:r>
      <w:r w:rsidR="00157E92">
        <w:rPr>
          <w:b/>
          <w:i/>
        </w:rPr>
        <w:t xml:space="preserve"> Są oni zmuszeni do nieustannego wyszukiwania nowych rozwiązań dostępnych na trudnym i zmiennym rynku.</w:t>
      </w:r>
    </w:p>
    <w:p w14:paraId="205838DE" w14:textId="77777777" w:rsidR="00A028BC" w:rsidRPr="00A028BC" w:rsidRDefault="00A028BC" w:rsidP="00FB2B15">
      <w:pPr>
        <w:jc w:val="both"/>
        <w:rPr>
          <w:b/>
          <w:i/>
        </w:rPr>
      </w:pPr>
    </w:p>
    <w:p w14:paraId="738A6075" w14:textId="77777777" w:rsidR="00A028BC" w:rsidRDefault="00A028BC" w:rsidP="00FB2B15">
      <w:pPr>
        <w:jc w:val="both"/>
      </w:pPr>
      <w:r>
        <w:t>Małe i średnie przedsiębiorstwa najczęściej nie mają rozbudowanych działów finansowych i analitycznych. Stąd nie zawsze są w stanie sprawnie działać w sytuacji zagrożenia płynności, tym bardziej, że dostęp do wielu produktów finansowych może być aktualnie utrudniony.</w:t>
      </w:r>
    </w:p>
    <w:p w14:paraId="1EA3681C" w14:textId="78D8C794" w:rsidR="00A028BC" w:rsidRDefault="00933D11" w:rsidP="00FB2B15">
      <w:pPr>
        <w:jc w:val="both"/>
      </w:pPr>
      <w:r>
        <w:t xml:space="preserve"> </w:t>
      </w:r>
      <w:r w:rsidR="00A028BC">
        <w:t xml:space="preserve"> </w:t>
      </w:r>
    </w:p>
    <w:p w14:paraId="7DDDBA88" w14:textId="245F35CA" w:rsidR="001E31AA" w:rsidRDefault="00A028BC" w:rsidP="00FB2B15">
      <w:pPr>
        <w:jc w:val="both"/>
      </w:pPr>
      <w:r>
        <w:t>Największy wpływ na stabilność działania przedsiębiorstw ma</w:t>
      </w:r>
      <w:r w:rsidR="00C10A33">
        <w:t xml:space="preserve"> dostępność kredytu obrotowego. W drugim kwartale tego roku wyraźnie było widać, że banki bardzo ostrożnie podchodziły do finansowania przedsiębiorstw. </w:t>
      </w:r>
      <w:r>
        <w:t>K</w:t>
      </w:r>
      <w:r w:rsidR="00C10A33">
        <w:t xml:space="preserve">oncentrowały się na monitoringu i przeglądzie portfeli. </w:t>
      </w:r>
      <w:r>
        <w:t>Nawet ś</w:t>
      </w:r>
      <w:r w:rsidR="00C10A33">
        <w:t>rodki z tarczy finansowej były dostępne w bankach, z którymi przedsiębiorcy wcześniej współpracowali</w:t>
      </w:r>
      <w:r>
        <w:t>.</w:t>
      </w:r>
      <w:r w:rsidR="00C10A33">
        <w:t xml:space="preserve"> </w:t>
      </w:r>
      <w:r>
        <w:t>O</w:t>
      </w:r>
      <w:r w:rsidR="00C10A33">
        <w:t>trzymanie nowego finansowania było niezmiernie trudne</w:t>
      </w:r>
      <w:r>
        <w:t>, co było niekorzystne nie tylko dla przedsiębiorców ale i dla samych banków.</w:t>
      </w:r>
      <w:r w:rsidR="001E31AA">
        <w:t xml:space="preserve"> Sytuacja ta nieco poprawiła się latem, jednak z danych Związku Banków Polskich wyraźnie widać, że problem powraca. W listopadzie banki udzieliły przedsiębiorstwom o 25% mniej kredytów inwestycyjnych i o 16% mniej kredytów obrotowych niż w październiku. Prognozy na grudzień są jeszcze bardziej pesymistyczne i mówią o spadkach rzędu 32% i 23%. Może to oznaczać, że dla wielu przedsiębiorstw finansowani</w:t>
      </w:r>
      <w:r w:rsidR="00FB2B15">
        <w:t>e</w:t>
      </w:r>
      <w:r w:rsidR="001E31AA">
        <w:t xml:space="preserve"> kredytem obrotowym będzie niedostępne. Trzeba się też liczyć ze wzrostem oprocentowania i marży bankowych.</w:t>
      </w:r>
    </w:p>
    <w:p w14:paraId="3E49F4BC" w14:textId="77777777" w:rsidR="00C10A33" w:rsidRDefault="00C10A33" w:rsidP="00FB2B15">
      <w:pPr>
        <w:jc w:val="both"/>
      </w:pPr>
    </w:p>
    <w:p w14:paraId="363E978E" w14:textId="1C7F06F2" w:rsidR="00A86034" w:rsidRDefault="001E31AA" w:rsidP="00FB2B15">
      <w:pPr>
        <w:jc w:val="both"/>
      </w:pPr>
      <w:r>
        <w:t>Pozytywnym zjawiskiem może być to, że</w:t>
      </w:r>
      <w:r w:rsidR="00236104">
        <w:t xml:space="preserve"> </w:t>
      </w:r>
      <w:r>
        <w:t>banki</w:t>
      </w:r>
      <w:r w:rsidR="00236104">
        <w:t xml:space="preserve"> i menedżerowie odpowiedzialni za finanse nauczyli się już żyć z pandemią. </w:t>
      </w:r>
      <w:r>
        <w:t>B</w:t>
      </w:r>
      <w:r w:rsidR="00A86034">
        <w:t xml:space="preserve">anki wiedzą jak analizować sytuację przedsiębiorstw i jakich zabezpieczeń żądać. </w:t>
      </w:r>
      <w:r>
        <w:t>Niestety, klienci często będą narażeni na uciążliwe procedury takie jak</w:t>
      </w:r>
      <w:r w:rsidR="00BD1929">
        <w:t xml:space="preserve"> cykliczne wypełniani</w:t>
      </w:r>
      <w:r>
        <w:t>e</w:t>
      </w:r>
      <w:r w:rsidR="00BD1929">
        <w:t xml:space="preserve"> ankiet</w:t>
      </w:r>
      <w:r w:rsidR="00387B98">
        <w:t xml:space="preserve"> </w:t>
      </w:r>
      <w:proofErr w:type="spellStart"/>
      <w:r w:rsidR="00387B98">
        <w:t>covidowych</w:t>
      </w:r>
      <w:proofErr w:type="spellEnd"/>
      <w:r w:rsidR="00387B98">
        <w:t>,</w:t>
      </w:r>
      <w:r w:rsidR="00BD1929">
        <w:t xml:space="preserve"> </w:t>
      </w:r>
      <w:r w:rsidR="00387B98">
        <w:t>wnikliwie badany jest też wpływ</w:t>
      </w:r>
      <w:r w:rsidR="006518F5">
        <w:t xml:space="preserve"> pomocy udzielonej przez PFR</w:t>
      </w:r>
      <w:r w:rsidR="00387B98">
        <w:t xml:space="preserve"> na ich sytuację finansową</w:t>
      </w:r>
      <w:r w:rsidR="006518F5">
        <w:t>. Część środków</w:t>
      </w:r>
      <w:r w:rsidR="00387B98">
        <w:t xml:space="preserve"> z PFR</w:t>
      </w:r>
      <w:r w:rsidR="006518F5">
        <w:t xml:space="preserve"> będzie musiała by</w:t>
      </w:r>
      <w:r w:rsidR="00387B98">
        <w:t>ć</w:t>
      </w:r>
      <w:r w:rsidR="006518F5">
        <w:t xml:space="preserve"> już niedługo spłac</w:t>
      </w:r>
      <w:r w:rsidR="005505D0">
        <w:t>ana,</w:t>
      </w:r>
      <w:r w:rsidR="006518F5">
        <w:t xml:space="preserve"> </w:t>
      </w:r>
      <w:r w:rsidR="00387B98">
        <w:t>a</w:t>
      </w:r>
      <w:r w:rsidR="006518F5">
        <w:t xml:space="preserve"> istnieją liczne czynniki</w:t>
      </w:r>
      <w:r w:rsidR="00387B98">
        <w:t xml:space="preserve"> </w:t>
      </w:r>
      <w:r w:rsidR="006518F5">
        <w:t>mają</w:t>
      </w:r>
      <w:r w:rsidR="00387B98">
        <w:t>ce</w:t>
      </w:r>
      <w:r w:rsidR="006518F5">
        <w:t xml:space="preserve"> wpływ na wysokość umorzenia. </w:t>
      </w:r>
    </w:p>
    <w:p w14:paraId="1A48F276" w14:textId="77777777" w:rsidR="00A86034" w:rsidRDefault="00A86034" w:rsidP="00FB2B15">
      <w:pPr>
        <w:jc w:val="both"/>
      </w:pPr>
    </w:p>
    <w:p w14:paraId="7B8A6477" w14:textId="48355460" w:rsidR="00C10A33" w:rsidRDefault="00387B98" w:rsidP="00FB2B15">
      <w:pPr>
        <w:jc w:val="both"/>
      </w:pPr>
      <w:r>
        <w:t>Oczywiście s</w:t>
      </w:r>
      <w:r w:rsidR="00A86034">
        <w:t xml:space="preserve">ytuacja finansowa przedsiębiorstw jest bardzo mocno uzależniona od branży. Przede wszystkim dla gospodarki dotkliwa jest zapaść całego sektora </w:t>
      </w:r>
      <w:proofErr w:type="spellStart"/>
      <w:r w:rsidR="00A86034">
        <w:t>HoReCa</w:t>
      </w:r>
      <w:proofErr w:type="spellEnd"/>
      <w:r w:rsidR="00A86034">
        <w:t>. Natomi</w:t>
      </w:r>
      <w:r w:rsidR="006518F5">
        <w:t>a</w:t>
      </w:r>
      <w:r w:rsidR="00A86034">
        <w:t>st świetnie sobie radzi praktycznie cały sektor e-commerce, oraz związane z nim branże usług kurierskich</w:t>
      </w:r>
      <w:r w:rsidR="008643D0">
        <w:t xml:space="preserve"> czy logistycznych</w:t>
      </w:r>
      <w:r w:rsidR="00157E92">
        <w:t>, branża spożywcza oraz farmaceutyczna</w:t>
      </w:r>
      <w:r w:rsidR="00A86034">
        <w:t>.</w:t>
      </w:r>
      <w:r>
        <w:t xml:space="preserve"> Banki, dysponując odpowiednimi statystykami będą uwzględniać tę sytuację w swojej polityce kredytowej.</w:t>
      </w:r>
    </w:p>
    <w:p w14:paraId="073D3400" w14:textId="77777777" w:rsidR="00A86034" w:rsidRDefault="00A86034" w:rsidP="00FB2B15">
      <w:pPr>
        <w:jc w:val="both"/>
      </w:pPr>
    </w:p>
    <w:p w14:paraId="5200A6C3" w14:textId="77777777" w:rsidR="00FB2B15" w:rsidRDefault="00FB2B15" w:rsidP="00FB2B15">
      <w:pPr>
        <w:jc w:val="both"/>
      </w:pPr>
      <w:r>
        <w:t>Równie trudn</w:t>
      </w:r>
      <w:r w:rsidR="003C1037">
        <w:t>e</w:t>
      </w:r>
      <w:r>
        <w:t xml:space="preserve"> może być finansowanie działalności za pomocą obligacji. W ostatnim czasie zdarzały się przypadki niespłaconych obligacji na czele ze słynną aferą </w:t>
      </w:r>
      <w:proofErr w:type="spellStart"/>
      <w:r>
        <w:t>Getbacku</w:t>
      </w:r>
      <w:proofErr w:type="spellEnd"/>
      <w:r>
        <w:t>. Oznacza to, że inwestorzy stali się ostrożniejsi a możliwość emisji obligacji posiadają głównie przedsiębiorstwa o bardzo dobrej sytuacji finansowej. Dodatkowo cały proces pozyskania środków może trwać nawet do kilkunastu miesięcy.</w:t>
      </w:r>
    </w:p>
    <w:p w14:paraId="7E0A5A9B" w14:textId="77777777" w:rsidR="00FB2B15" w:rsidRDefault="00FB2B15" w:rsidP="00FB2B15">
      <w:pPr>
        <w:jc w:val="both"/>
      </w:pPr>
    </w:p>
    <w:p w14:paraId="6E42EF5B" w14:textId="71A3E0C0" w:rsidR="006518F5" w:rsidRDefault="00387B98" w:rsidP="00FB2B15">
      <w:pPr>
        <w:jc w:val="both"/>
      </w:pPr>
      <w:r>
        <w:t>Ciekaw</w:t>
      </w:r>
      <w:r w:rsidR="0080537C">
        <w:t>e jest</w:t>
      </w:r>
      <w:r w:rsidR="003C1037">
        <w:t xml:space="preserve"> natomiast</w:t>
      </w:r>
      <w:r w:rsidR="0080537C">
        <w:t xml:space="preserve"> to, że mimo pandemii, według danych </w:t>
      </w:r>
      <w:r w:rsidR="005505D0">
        <w:t>Polskiego Związku Faktorów</w:t>
      </w:r>
      <w:r w:rsidR="0080537C">
        <w:t xml:space="preserve">, cały czas rozwija się w Polsce rynek faktoringu. W porównaniu z zeszłym rokiem wzrósł on o </w:t>
      </w:r>
      <w:r w:rsidR="0080537C">
        <w:lastRenderedPageBreak/>
        <w:t xml:space="preserve">2%. Dodatkowo przedsiębiorcy mają obecnie możliwość </w:t>
      </w:r>
      <w:r w:rsidR="006518F5">
        <w:t>korzysta</w:t>
      </w:r>
      <w:r w:rsidR="0080537C">
        <w:t>nia</w:t>
      </w:r>
      <w:r w:rsidR="006518F5">
        <w:t xml:space="preserve"> z gwarancji BGK przy współpracy z firm</w:t>
      </w:r>
      <w:r w:rsidR="0080537C">
        <w:t>ą</w:t>
      </w:r>
      <w:r w:rsidR="006518F5">
        <w:t xml:space="preserve"> faktoringową.</w:t>
      </w:r>
      <w:r w:rsidR="005D2C23">
        <w:t xml:space="preserve"> </w:t>
      </w:r>
      <w:r w:rsidR="0080537C">
        <w:t>W ramach nowego, unikalnego rozwiązania, BGK może gwarantować do 80% sumy faktoringowej. Stosunkowo bezpieczną i stabilną opcją finansowania w trudnych czasach pozostaje też leasing.</w:t>
      </w:r>
      <w:r w:rsidR="00933D11">
        <w:t xml:space="preserve"> </w:t>
      </w:r>
    </w:p>
    <w:p w14:paraId="18E56A6D" w14:textId="77777777" w:rsidR="006518F5" w:rsidRDefault="006518F5" w:rsidP="00FB2B15">
      <w:pPr>
        <w:jc w:val="both"/>
      </w:pPr>
    </w:p>
    <w:p w14:paraId="45D863A0" w14:textId="31E191FB" w:rsidR="005D2C23" w:rsidRDefault="005D2C23" w:rsidP="00FB2B15">
      <w:pPr>
        <w:jc w:val="both"/>
      </w:pPr>
    </w:p>
    <w:sectPr w:rsidR="005D2C23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A33"/>
    <w:rsid w:val="001406D1"/>
    <w:rsid w:val="00157E92"/>
    <w:rsid w:val="001856B9"/>
    <w:rsid w:val="001E31AA"/>
    <w:rsid w:val="00236104"/>
    <w:rsid w:val="00292E27"/>
    <w:rsid w:val="00334C69"/>
    <w:rsid w:val="00387B98"/>
    <w:rsid w:val="003C1037"/>
    <w:rsid w:val="00445C3E"/>
    <w:rsid w:val="00474B0F"/>
    <w:rsid w:val="005505D0"/>
    <w:rsid w:val="005D2C23"/>
    <w:rsid w:val="006518F5"/>
    <w:rsid w:val="0080537C"/>
    <w:rsid w:val="008643D0"/>
    <w:rsid w:val="008951EB"/>
    <w:rsid w:val="008F45C9"/>
    <w:rsid w:val="009110C7"/>
    <w:rsid w:val="00933D11"/>
    <w:rsid w:val="009B606D"/>
    <w:rsid w:val="00A028BC"/>
    <w:rsid w:val="00A641DE"/>
    <w:rsid w:val="00A86034"/>
    <w:rsid w:val="00AF5E0B"/>
    <w:rsid w:val="00BD1929"/>
    <w:rsid w:val="00C10A33"/>
    <w:rsid w:val="00C70F7A"/>
    <w:rsid w:val="00C7720D"/>
    <w:rsid w:val="00CF7B50"/>
    <w:rsid w:val="00FB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6344C"/>
  <w14:defaultImageDpi w14:val="32767"/>
  <w15:chartTrackingRefBased/>
  <w15:docId w15:val="{B00B1033-E90C-B64B-9C3D-1BF3217E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77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72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7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7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72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2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2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Justyna Moskalewicz</cp:lastModifiedBy>
  <cp:revision>2</cp:revision>
  <dcterms:created xsi:type="dcterms:W3CDTF">2020-12-15T09:46:00Z</dcterms:created>
  <dcterms:modified xsi:type="dcterms:W3CDTF">2020-12-15T09:46:00Z</dcterms:modified>
</cp:coreProperties>
</file>